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方正仿宋_GBK" w:eastAsia="黑体" w:cs="方正仿宋_GBK"/>
          <w:spacing w:val="10"/>
          <w:sz w:val="32"/>
          <w:szCs w:val="32"/>
        </w:rPr>
      </w:pPr>
      <w:r>
        <w:rPr>
          <w:rFonts w:hint="eastAsia" w:ascii="黑体" w:hAnsi="方正仿宋_GBK" w:eastAsia="黑体" w:cs="方正仿宋_GBK"/>
          <w:spacing w:val="10"/>
          <w:sz w:val="32"/>
          <w:szCs w:val="32"/>
        </w:rPr>
        <w:t>附件</w:t>
      </w:r>
      <w:r>
        <w:rPr>
          <w:rFonts w:ascii="黑体" w:hAnsi="方正仿宋_GBK" w:eastAsia="黑体" w:cs="方正仿宋_GBK"/>
          <w:spacing w:val="10"/>
          <w:sz w:val="32"/>
          <w:szCs w:val="32"/>
        </w:rPr>
        <w:t>3</w:t>
      </w:r>
    </w:p>
    <w:p>
      <w:pPr>
        <w:spacing w:before="144" w:beforeLines="50" w:line="580" w:lineRule="exact"/>
        <w:jc w:val="center"/>
        <w:rPr>
          <w:rFonts w:ascii="方正小标宋_GBK" w:eastAsia="方正小标宋_GBK"/>
          <w:spacing w:val="10"/>
          <w:sz w:val="44"/>
          <w:szCs w:val="44"/>
        </w:rPr>
      </w:pPr>
      <w:r>
        <w:rPr>
          <w:rFonts w:hint="eastAsia" w:ascii="方正小标宋_GBK" w:eastAsia="方正小标宋_GBK"/>
          <w:spacing w:val="10"/>
          <w:sz w:val="44"/>
          <w:szCs w:val="44"/>
        </w:rPr>
        <w:t>市政府决定修改的行政职权事项目录</w:t>
      </w:r>
    </w:p>
    <w:p>
      <w:pPr>
        <w:spacing w:line="580" w:lineRule="exact"/>
        <w:ind w:firstLine="639" w:firstLineChars="200"/>
        <w:rPr>
          <w:rFonts w:ascii="仿宋_GB2312" w:eastAsia="仿宋_GB2312"/>
          <w:spacing w:val="10"/>
          <w:sz w:val="32"/>
          <w:szCs w:val="32"/>
        </w:rPr>
      </w:pPr>
    </w:p>
    <w:p>
      <w:pPr>
        <w:spacing w:line="580" w:lineRule="exact"/>
        <w:ind w:firstLine="639" w:firstLineChars="200"/>
        <w:rPr>
          <w:rFonts w:ascii="黑体" w:eastAsia="黑体"/>
          <w:spacing w:val="10"/>
          <w:sz w:val="32"/>
          <w:szCs w:val="32"/>
        </w:rPr>
      </w:pPr>
      <w:r>
        <w:rPr>
          <w:rFonts w:hint="eastAsia" w:ascii="黑体" w:hAnsi="宋体" w:eastAsia="黑体"/>
          <w:spacing w:val="10"/>
          <w:sz w:val="32"/>
          <w:szCs w:val="32"/>
        </w:rPr>
        <w:t>一、市发展和改革委员会（共</w:t>
      </w:r>
      <w:r>
        <w:rPr>
          <w:rFonts w:ascii="黑体" w:hAnsi="宋体" w:eastAsia="黑体"/>
          <w:spacing w:val="10"/>
          <w:sz w:val="32"/>
          <w:szCs w:val="32"/>
        </w:rPr>
        <w:t>4</w:t>
      </w:r>
      <w:r>
        <w:rPr>
          <w:rFonts w:hint="eastAsia" w:ascii="黑体" w:hAnsi="宋体" w:eastAsia="黑体"/>
          <w:spacing w:val="10"/>
          <w:sz w:val="32"/>
          <w:szCs w:val="32"/>
        </w:rPr>
        <w:t>项）</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（一）总投资在</w:t>
      </w:r>
      <w:r>
        <w:rPr>
          <w:rFonts w:ascii="仿宋_GB2312" w:eastAsia="仿宋_GB2312"/>
          <w:spacing w:val="10"/>
          <w:sz w:val="32"/>
          <w:szCs w:val="32"/>
        </w:rPr>
        <w:t>5000</w:t>
      </w:r>
      <w:r>
        <w:rPr>
          <w:rFonts w:hint="eastAsia" w:ascii="仿宋_GB2312" w:eastAsia="仿宋_GB2312"/>
          <w:spacing w:val="10"/>
          <w:sz w:val="32"/>
          <w:szCs w:val="32"/>
        </w:rPr>
        <w:t>万元以下的内资项目进口设备免税确认，行政职权类别由行政确认修改为其他职权</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（二）行政职权名称由涉案财物价格鉴定认证，修改为涉嫌刑事案件价格认定</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（三）行政职权名称由涉案纪检监察案件价格认定，修改为涉嫌违纪案件价格认定</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（四）行政职权名称由国有土地房屋征收与补偿价格认定，修改为国家赔偿补偿事项价格认定</w:t>
      </w:r>
    </w:p>
    <w:p>
      <w:pPr>
        <w:spacing w:line="580" w:lineRule="exact"/>
        <w:ind w:firstLine="639" w:firstLineChars="200"/>
        <w:rPr>
          <w:rFonts w:ascii="黑体" w:hAnsi="宋体" w:eastAsia="黑体"/>
          <w:spacing w:val="10"/>
          <w:sz w:val="32"/>
          <w:szCs w:val="32"/>
        </w:rPr>
      </w:pPr>
      <w:r>
        <w:rPr>
          <w:rFonts w:hint="eastAsia" w:ascii="黑体" w:hAnsi="宋体" w:eastAsia="黑体"/>
          <w:spacing w:val="10"/>
          <w:sz w:val="32"/>
          <w:szCs w:val="32"/>
        </w:rPr>
        <w:t>二、市国土资源局（共</w:t>
      </w:r>
      <w:r>
        <w:rPr>
          <w:rFonts w:ascii="黑体" w:hAnsi="宋体" w:eastAsia="黑体"/>
          <w:spacing w:val="10"/>
          <w:sz w:val="32"/>
          <w:szCs w:val="32"/>
        </w:rPr>
        <w:t>1</w:t>
      </w:r>
      <w:r>
        <w:rPr>
          <w:rFonts w:hint="eastAsia" w:ascii="黑体" w:hAnsi="宋体" w:eastAsia="黑体"/>
          <w:spacing w:val="10"/>
          <w:sz w:val="32"/>
          <w:szCs w:val="32"/>
        </w:rPr>
        <w:t>项）</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（一）行政职权名称由土地登记，修改为不动产登记</w:t>
      </w:r>
    </w:p>
    <w:p>
      <w:pPr>
        <w:spacing w:line="580" w:lineRule="exact"/>
        <w:ind w:firstLine="639" w:firstLineChars="200"/>
        <w:rPr>
          <w:rFonts w:ascii="黑体" w:hAnsi="宋体" w:eastAsia="黑体"/>
          <w:spacing w:val="10"/>
          <w:sz w:val="32"/>
          <w:szCs w:val="32"/>
        </w:rPr>
      </w:pPr>
      <w:r>
        <w:rPr>
          <w:rFonts w:hint="eastAsia" w:ascii="黑体" w:hAnsi="宋体" w:eastAsia="黑体"/>
          <w:spacing w:val="10"/>
          <w:sz w:val="32"/>
          <w:szCs w:val="32"/>
        </w:rPr>
        <w:t>三、市文化广电新闻出版局（共</w:t>
      </w:r>
      <w:r>
        <w:rPr>
          <w:rFonts w:ascii="黑体" w:hAnsi="宋体" w:eastAsia="黑体"/>
          <w:spacing w:val="10"/>
          <w:sz w:val="32"/>
          <w:szCs w:val="32"/>
        </w:rPr>
        <w:t>5</w:t>
      </w:r>
      <w:r>
        <w:rPr>
          <w:rFonts w:hint="eastAsia" w:ascii="黑体" w:hAnsi="宋体" w:eastAsia="黑体"/>
          <w:spacing w:val="10"/>
          <w:sz w:val="32"/>
          <w:szCs w:val="32"/>
        </w:rPr>
        <w:t>项）</w:t>
      </w:r>
    </w:p>
    <w:p>
      <w:pPr>
        <w:spacing w:line="580" w:lineRule="exact"/>
        <w:ind w:firstLine="626" w:firstLineChars="196"/>
        <w:rPr>
          <w:rFonts w:ascii="仿宋_GB2312" w:eastAsia="仿宋_GB2312"/>
          <w:spacing w:val="10"/>
          <w:sz w:val="32"/>
          <w:szCs w:val="32"/>
        </w:rPr>
      </w:pPr>
      <w:r>
        <w:rPr>
          <w:rFonts w:hint="eastAsia" w:ascii="仿宋_GB2312" w:eastAsia="仿宋_GB2312"/>
          <w:spacing w:val="10"/>
          <w:sz w:val="32"/>
          <w:szCs w:val="32"/>
        </w:rPr>
        <w:t>（一）行政职权名称由征订、储存、运输、邮寄、投递、散发、附送违禁出版物的处罚，修改为征订、储存、运输、邮寄、投递、散发、附送违禁出版物、非法出版物、侵犯他人著作权或者专有出版权的出版物、出版行政部门明令禁止出版、印刷或者复制、发行的出版物的处罚</w:t>
      </w:r>
    </w:p>
    <w:p>
      <w:pPr>
        <w:spacing w:line="580" w:lineRule="exact"/>
        <w:ind w:firstLine="626" w:firstLineChars="196"/>
        <w:rPr>
          <w:rFonts w:ascii="仿宋_GB2312" w:eastAsia="仿宋_GB2312"/>
          <w:spacing w:val="10"/>
          <w:sz w:val="32"/>
          <w:szCs w:val="32"/>
        </w:rPr>
      </w:pPr>
      <w:r>
        <w:rPr>
          <w:rFonts w:hint="eastAsia" w:ascii="仿宋_GB2312" w:eastAsia="仿宋_GB2312"/>
          <w:spacing w:val="10"/>
          <w:sz w:val="32"/>
          <w:szCs w:val="32"/>
        </w:rPr>
        <w:t>（二）行政职权名称由擅自开展美术品进出口经营活动或者涉外商业性美术品展览活动的处罚，修改为从境外进口或者向境外出口艺术品的，未向艺术品进出口口岸所在地省、自治区、直辖市人民政府文化行政部门提出申请并报送材料的；以销售、商业宣传为目的在境内公共展览场所举办有境外艺术品创作者或者境外艺术品参加的展示活动，未向展览举办地省、自治区、直辖市人民政府文化行政部门提出申请，并报送材料的处罚</w:t>
      </w:r>
    </w:p>
    <w:p>
      <w:pPr>
        <w:spacing w:line="580" w:lineRule="exact"/>
        <w:ind w:firstLine="626" w:firstLineChars="196"/>
        <w:rPr>
          <w:rFonts w:ascii="仿宋_GB2312" w:eastAsia="仿宋_GB2312"/>
          <w:spacing w:val="10"/>
          <w:sz w:val="32"/>
          <w:szCs w:val="32"/>
        </w:rPr>
      </w:pPr>
      <w:r>
        <w:rPr>
          <w:rFonts w:hint="eastAsia" w:ascii="仿宋_GB2312" w:eastAsia="仿宋_GB2312"/>
          <w:spacing w:val="10"/>
          <w:sz w:val="32"/>
          <w:szCs w:val="32"/>
        </w:rPr>
        <w:t>（三）行政职权名称由美术品经营方未按规定向文化行政部门备案；未建立健全经营管理制度；不能证明经营的美术品的合法来源；经营的美术品没有明码标价；从事美术品经纪活动的专业人员在</w:t>
      </w:r>
      <w:r>
        <w:rPr>
          <w:rFonts w:ascii="仿宋_GB2312" w:eastAsia="仿宋_GB2312"/>
          <w:spacing w:val="10"/>
          <w:sz w:val="32"/>
          <w:szCs w:val="32"/>
        </w:rPr>
        <w:t>2</w:t>
      </w:r>
      <w:r>
        <w:rPr>
          <w:rFonts w:hint="eastAsia" w:ascii="仿宋_GB2312" w:eastAsia="仿宋_GB2312"/>
          <w:spacing w:val="10"/>
          <w:sz w:val="32"/>
          <w:szCs w:val="32"/>
        </w:rPr>
        <w:t>个或者</w:t>
      </w:r>
      <w:r>
        <w:rPr>
          <w:rFonts w:ascii="仿宋_GB2312" w:eastAsia="仿宋_GB2312"/>
          <w:spacing w:val="10"/>
          <w:sz w:val="32"/>
          <w:szCs w:val="32"/>
        </w:rPr>
        <w:t>2</w:t>
      </w:r>
      <w:r>
        <w:rPr>
          <w:rFonts w:hint="eastAsia" w:ascii="仿宋_GB2312" w:eastAsia="仿宋_GB2312"/>
          <w:spacing w:val="10"/>
          <w:sz w:val="32"/>
          <w:szCs w:val="32"/>
        </w:rPr>
        <w:t>个以上的美术品中介服务单位执业的处罚，修改为设立从事艺术品经营活动的经营单位，未在领取营业执照之日起</w:t>
      </w:r>
      <w:r>
        <w:rPr>
          <w:rFonts w:ascii="仿宋_GB2312" w:eastAsia="仿宋_GB2312"/>
          <w:spacing w:val="10"/>
          <w:sz w:val="32"/>
          <w:szCs w:val="32"/>
        </w:rPr>
        <w:t>15</w:t>
      </w:r>
      <w:r>
        <w:rPr>
          <w:rFonts w:hint="eastAsia" w:ascii="仿宋_GB2312" w:eastAsia="仿宋_GB2312"/>
          <w:spacing w:val="10"/>
          <w:sz w:val="32"/>
          <w:szCs w:val="32"/>
        </w:rPr>
        <w:t>日内，到其住所地县级以上人民政府文化行政部门备案的处罚</w:t>
      </w:r>
    </w:p>
    <w:p>
      <w:pPr>
        <w:spacing w:line="580" w:lineRule="exact"/>
        <w:ind w:firstLine="626" w:firstLineChars="196"/>
        <w:rPr>
          <w:rFonts w:ascii="仿宋_GB2312" w:eastAsia="仿宋_GB2312"/>
          <w:spacing w:val="10"/>
          <w:sz w:val="32"/>
          <w:szCs w:val="32"/>
        </w:rPr>
      </w:pPr>
      <w:r>
        <w:rPr>
          <w:rFonts w:hint="eastAsia" w:ascii="仿宋_GB2312" w:eastAsia="仿宋_GB2312"/>
          <w:spacing w:val="10"/>
          <w:sz w:val="32"/>
          <w:szCs w:val="32"/>
        </w:rPr>
        <w:t>（四）行政职权名称由擅自设立文艺表演团体、演出经纪机构或者擅自从事营业性演出经营活动；超范围从事营业性演出经营活动；变更营业性演出经营项目未向原发证机关申请换发营业性演出许可证的处罚，修改为“文艺表演团体和演出经纪机构从事营业性演出活动未按规定提出申请的；未按规定设立中外合资经营的演出经纪机构、演出场所经营单位的；港澳台演出经纪机构未按规定申请从事营业性演出经营活动；营业性组台演出、演出经纪机构未按规定从事营业性演出经营活动；未按规定举办外国的或者香港特别行政区、澳门特别行政区、台湾地区的文艺表演团体、个人参加的营业性演出；变更名称、住所、法定代表人或者主要负责人、营业性演出经营项目，未向原发证机关申请换发营业性演出许可证，并依法到工商行政管理部门办理变更登记的处罚</w:t>
      </w:r>
    </w:p>
    <w:p>
      <w:pPr>
        <w:spacing w:line="580" w:lineRule="exact"/>
        <w:ind w:firstLine="626" w:firstLineChars="196"/>
        <w:rPr>
          <w:rFonts w:ascii="仿宋_GB2312" w:hAnsi="黑体" w:eastAsia="仿宋_GB2312" w:cs="黑体"/>
          <w:spacing w:val="10"/>
          <w:sz w:val="32"/>
          <w:szCs w:val="32"/>
        </w:rPr>
      </w:pPr>
      <w:r>
        <w:rPr>
          <w:rFonts w:hint="eastAsia" w:ascii="仿宋_GB2312" w:eastAsia="仿宋_GB2312"/>
          <w:spacing w:val="10"/>
          <w:sz w:val="32"/>
          <w:szCs w:val="32"/>
        </w:rPr>
        <w:t>（五）擅自设立发行分支机构、出版物批发市场，擅自主办全国性出版物展销活动；不符合规定的主办单位擅自主办地方性或者跨省专业性出版物展销活动的处罚修改为擅自从事出版物发行业务的处罚</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四、市住房管理中心（共</w:t>
      </w:r>
      <w:r>
        <w:rPr>
          <w:rFonts w:ascii="黑体" w:hAnsi="黑体" w:eastAsia="黑体" w:cs="黑体"/>
          <w:spacing w:val="10"/>
          <w:sz w:val="32"/>
          <w:szCs w:val="32"/>
        </w:rPr>
        <w:t>13</w:t>
      </w:r>
      <w:r>
        <w:rPr>
          <w:rFonts w:hint="eastAsia" w:ascii="黑体" w:hAnsi="黑体" w:eastAsia="黑体" w:cs="黑体"/>
          <w:spacing w:val="10"/>
          <w:sz w:val="32"/>
          <w:szCs w:val="32"/>
        </w:rPr>
        <w:t>项）</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（一）行政职权名称由三级以下房地产开发企业资质审批，修改为三级以下房地产开发企业资质核定晋升注销</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（二）行政职权名称由异地物业服务企业资质备案，修改为异地物业服务企业进驻备案。其行政职权类别由其他职权修改为行政确认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（三）行政职权名称由对异地执业的估价机构的备案管理，修改为异地执业房地产估价机构进驻备案管理。其行政职权类别由其他职权修改为行政确认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（四）行政职权名称由对房地产估价机构资质核定的初审，修改为房地产估价机构备案初审</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（五）行政职权名称由住宅专项维修资金的归集、管理、使用，修改为住宅专项维修资金的归集、管理、使用和监督。其职权类别由其他职权修改为行政确认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（六）行政职权名称由房产测绘成果备案，修改为楼盘表管理、房屋面积管理、房产面积测绘资格管理。其职权类别由其他职权修改为行政确认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（七）新建商品房预售备案，行政职权类别由其他职权修改为行政确认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（八）业主委员会备案，行政职权类别由其他职权修改为行政确认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（九）房地产开发企业异地备案，行政职权类别由其他职权修改为行政确认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（十）物业承接查验备案，行政职权类别由其他职权修改为行政确认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（十一）前期物业管理招标投标活动的监督、备案，行政职权类别由其他职权修改为行政确认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（十二）房地产经纪机构及其分支机构备案，行政职权类别由其他职权修改为行政确认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（十三）房屋租赁登记备案，行政职权类别由其他职权修改为行政确认</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五、市质量技术监督局（共</w:t>
      </w:r>
      <w:r>
        <w:rPr>
          <w:rFonts w:ascii="黑体" w:hAnsi="黑体" w:eastAsia="黑体" w:cs="黑体"/>
          <w:spacing w:val="10"/>
          <w:sz w:val="32"/>
          <w:szCs w:val="32"/>
        </w:rPr>
        <w:t>2</w:t>
      </w:r>
      <w:r>
        <w:rPr>
          <w:rFonts w:hint="eastAsia" w:ascii="黑体" w:hAnsi="黑体" w:eastAsia="黑体" w:cs="黑体"/>
          <w:spacing w:val="10"/>
          <w:sz w:val="32"/>
          <w:szCs w:val="32"/>
        </w:rPr>
        <w:t>项）</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一）行政职权名称由计量检定员伪造篡改数据、报告证书或技术档案，违反计量检定规程开展计量检定，使用未经考核合格的计量标准开展计量检定，变造、倒卖、出租出借或者以其它方式非法转让《计量检定员证》或《注册计量师注册证》的处罚，修改为计量检定员伪造、篡改数据、报告证书或技术档案，违反计量检定规程开展计量检定，使用未经考核合格的计量标准开展计量检定，变造、倒卖、出租、出借或者以其它方式方式非法转让《注册计量师注册证》的处罚</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（二）行政职权名称由伪造、冒用《计量检定员证》或者《注册计量师注册证》的处罚，修改为冒用《注册计量师注册证》的处罚</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六、市安全生产监督管理局（共</w:t>
      </w:r>
      <w:r>
        <w:rPr>
          <w:rFonts w:ascii="黑体" w:hAnsi="黑体" w:eastAsia="黑体" w:cs="黑体"/>
          <w:spacing w:val="10"/>
          <w:sz w:val="32"/>
          <w:szCs w:val="32"/>
        </w:rPr>
        <w:t>4</w:t>
      </w:r>
      <w:r>
        <w:rPr>
          <w:rFonts w:hint="eastAsia" w:ascii="黑体" w:hAnsi="黑体" w:eastAsia="黑体" w:cs="黑体"/>
          <w:spacing w:val="10"/>
          <w:sz w:val="32"/>
          <w:szCs w:val="32"/>
        </w:rPr>
        <w:t>项）</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（一）行政职权名称由建设单位违反前期预防规定的处罚，修改为建设单位违反职业病前期预防规定的处罚</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二）行政职权名称由未按照规定进行职业病危害预评价或者未提交职业病危害预评价报告，或者职业病危害预评价报告未经安全生产监督管理部门备案或者审核同意，开工建设的；建设项目的职业病防护设施未按照规定与主体工程同时设计、同时施工、同时投入生产和使用的；职业病危害严重的建设项目，其职业病防护设施设计未经安全生产监督管理部门审查，或者不符合国家职业卫生标准和卫生要求，进行施工的；未按照规定对职业病防护设施进行职业病危害控制效果评价、未经安全生产监督管理部门验收或者验收不合格，擅自投入使用的处罚，修改为建设单位未按照规定进行职业病危害预评价的；建设项目的职业病防护设施未按照规定与主体工程同时设计、同时施工、同时投入生产和使用的；建设项目的职业病防护设施设计不符合国家职业卫生标准和卫生要求的；未按照规定对职业病防护设施进行职业病危害控制效果评价的；建设项目竣工投入生产和使用前，职业病防护设施未按照规定验收合格的处罚</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三）行政职权名称由未按照规定，对职业病危害预评价报告、职业病防护设施设计、职业病危害控制效果评价报告进行评审的；建设项目的选址、生产规模、工艺、职业病危害因素的种类、职业病防护设施发生重大变更时，未对变更内容重新进行职业病危害预评价或者未重新进行职业病防护设施设计并办理有关手续，进行施工的；需要试运行的职业病防护设施未与主体工程同时试运行的处罚，修改为建设单位未按规定对职业病危害预评价报告、职业病防护设施设计、职业病危害控制效果评价报告进行评审或者组织职业病防护设施验收的；职业病危害预评价、职业病防护设施设计、职业病危害控制效果评价或者职业病防护设施验收工作过程未形成书面报告备查的；建设项目的生产规模、工艺等发生变更导致职业病危害风险发生重大变化的，建设单位对变更内容未重新进行职业病危害预评价和评审，或者未重新进行职业病防护设施设计和评审的；需要试运行的职业病防护设施未与主体工程同时试运行的；建设单位未按照规定公布有关信息的处罚</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四）行政职权名称由生产经营单位应急预案未按照规定备案的处罚，修改为生产经营单位在应急预案编制前未按照规定开展风险评估和应急资源调查的；未按照规定开展应急预案评审或者论证的；未按照规定进行应急预案备案的；事故风险可能影响周边单位、人员的，未将事故风险的性质、影响范围和应急防范措施告知周边单位和人员的；未按照规定开展应急预案评估的；未按照规定进行应急预案修订并重新备案的；未落实应急预案规定的应急物资及装备的处罚</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七、市水利局（共</w:t>
      </w:r>
      <w:r>
        <w:rPr>
          <w:rFonts w:ascii="黑体" w:hAnsi="黑体" w:eastAsia="黑体" w:cs="黑体"/>
          <w:spacing w:val="10"/>
          <w:sz w:val="32"/>
          <w:szCs w:val="32"/>
        </w:rPr>
        <w:t>5</w:t>
      </w:r>
      <w:r>
        <w:rPr>
          <w:rFonts w:hint="eastAsia" w:ascii="黑体" w:hAnsi="黑体" w:eastAsia="黑体" w:cs="黑体"/>
          <w:spacing w:val="10"/>
          <w:sz w:val="32"/>
          <w:szCs w:val="32"/>
        </w:rPr>
        <w:t>项）</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（一）建设项目水资源论证报告书审批，行政职权类别由其他职权修改为行政确认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（二）协助市级重点水利基建初步设计文件审批，行政职权类别由其他职权修改为行政确认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（三）市级水工程建设规划同意书审核，行政职权类别由其他职权修改为行政确认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（四）生产建设项目水土保持设施验收审批，行政职权类别由其他职权修改为行政确认</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（五）大中型水库移民后期扶持规划审批，行政职权类别由其他职权修改为行政确认</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八、市食品药品监督管理局（共</w:t>
      </w:r>
      <w:r>
        <w:rPr>
          <w:rFonts w:ascii="黑体" w:hAnsi="黑体" w:eastAsia="黑体" w:cs="黑体"/>
          <w:spacing w:val="10"/>
          <w:sz w:val="32"/>
          <w:szCs w:val="32"/>
        </w:rPr>
        <w:t>1</w:t>
      </w:r>
      <w:r>
        <w:rPr>
          <w:rFonts w:hint="eastAsia" w:ascii="黑体" w:hAnsi="黑体" w:eastAsia="黑体" w:cs="黑体"/>
          <w:spacing w:val="10"/>
          <w:sz w:val="32"/>
          <w:szCs w:val="32"/>
        </w:rPr>
        <w:t>项）</w:t>
      </w:r>
    </w:p>
    <w:p>
      <w:pPr>
        <w:spacing w:line="58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（一）行政职权名称由第二、三类医疗器械经营许可，修改为第三类医疗器械经营许可</w:t>
      </w:r>
    </w:p>
    <w:p>
      <w:pPr>
        <w:spacing w:line="580" w:lineRule="exact"/>
        <w:ind w:firstLine="639" w:firstLineChars="200"/>
        <w:rPr>
          <w:rFonts w:ascii="仿宋_GB2312" w:eastAsia="仿宋_GB2312"/>
          <w:spacing w:val="10"/>
          <w:sz w:val="32"/>
          <w:szCs w:val="32"/>
        </w:rPr>
      </w:pPr>
    </w:p>
    <w:p>
      <w:pPr>
        <w:spacing w:line="580" w:lineRule="exact"/>
        <w:ind w:firstLine="639" w:firstLineChars="200"/>
        <w:rPr>
          <w:rFonts w:ascii="仿宋_GB2312" w:eastAsia="仿宋_GB2312"/>
          <w:spacing w:val="1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3C0041"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DC65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2017-08-07T01:09:24Z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